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6A2A4B79" w:rsidR="00C85886" w:rsidRPr="00042EF1" w:rsidRDefault="00C85886" w:rsidP="00C85886">
      <w:pPr>
        <w:jc w:val="right"/>
        <w:rPr>
          <w:b/>
          <w:bCs/>
          <w:sz w:val="24"/>
          <w:szCs w:val="24"/>
        </w:rPr>
      </w:pPr>
      <w:r w:rsidRPr="00042EF1">
        <w:rPr>
          <w:b/>
          <w:bCs/>
          <w:sz w:val="24"/>
          <w:szCs w:val="24"/>
        </w:rPr>
        <w:t xml:space="preserve">Zał. </w:t>
      </w:r>
      <w:r w:rsidR="00D752D5" w:rsidRPr="00042EF1">
        <w:rPr>
          <w:b/>
          <w:bCs/>
          <w:sz w:val="24"/>
          <w:szCs w:val="24"/>
        </w:rPr>
        <w:t>4</w:t>
      </w:r>
      <w:r w:rsidRPr="00042EF1">
        <w:rPr>
          <w:b/>
          <w:bCs/>
          <w:sz w:val="24"/>
          <w:szCs w:val="24"/>
        </w:rPr>
        <w:t>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11159"/>
      </w:tblGrid>
      <w:tr w:rsidR="00624A65" w:rsidRPr="00624A65" w14:paraId="7DAAB318" w14:textId="77777777" w:rsidTr="00C85886">
        <w:trPr>
          <w:trHeight w:val="375"/>
        </w:trPr>
        <w:tc>
          <w:tcPr>
            <w:tcW w:w="13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593DD588" w:rsidR="00624A65" w:rsidRPr="00D752D5" w:rsidRDefault="00624A65" w:rsidP="00D25F50">
            <w:pPr>
              <w:jc w:val="center"/>
              <w:rPr>
                <w:b/>
                <w:bCs/>
                <w:sz w:val="24"/>
                <w:szCs w:val="24"/>
              </w:rPr>
            </w:pPr>
            <w:r w:rsidRPr="00D752D5">
              <w:rPr>
                <w:b/>
                <w:bCs/>
                <w:sz w:val="24"/>
                <w:szCs w:val="24"/>
              </w:rPr>
              <w:t xml:space="preserve">KARTA OCENY </w:t>
            </w:r>
            <w:r w:rsidR="00D752D5" w:rsidRPr="00D752D5">
              <w:rPr>
                <w:b/>
                <w:bCs/>
                <w:sz w:val="24"/>
                <w:szCs w:val="24"/>
              </w:rPr>
              <w:t>PROJ</w:t>
            </w:r>
            <w:r w:rsidR="00D752D5">
              <w:rPr>
                <w:b/>
                <w:bCs/>
                <w:sz w:val="24"/>
                <w:szCs w:val="24"/>
              </w:rPr>
              <w:t>E</w:t>
            </w:r>
            <w:r w:rsidR="00D752D5" w:rsidRPr="00D752D5">
              <w:rPr>
                <w:b/>
                <w:bCs/>
                <w:sz w:val="24"/>
                <w:szCs w:val="24"/>
              </w:rPr>
              <w:t>KTU</w:t>
            </w:r>
            <w:r w:rsidRPr="00D752D5">
              <w:rPr>
                <w:b/>
                <w:bCs/>
                <w:sz w:val="24"/>
                <w:szCs w:val="24"/>
              </w:rPr>
              <w:t xml:space="preserve"> </w:t>
            </w:r>
            <w:r w:rsidR="009B7D2B" w:rsidRPr="00D752D5">
              <w:rPr>
                <w:b/>
                <w:bCs/>
                <w:sz w:val="24"/>
                <w:szCs w:val="24"/>
              </w:rPr>
              <w:br/>
            </w:r>
            <w:r w:rsidR="00D752D5" w:rsidRPr="00D752D5">
              <w:rPr>
                <w:b/>
                <w:bCs/>
                <w:sz w:val="24"/>
                <w:szCs w:val="24"/>
              </w:rPr>
              <w:t>ETAP OCENY FORMALNEJ</w:t>
            </w:r>
          </w:p>
          <w:p w14:paraId="576A9D80" w14:textId="77777777" w:rsidR="00770837" w:rsidRDefault="00770837" w:rsidP="00D25F50">
            <w:pPr>
              <w:jc w:val="center"/>
              <w:rPr>
                <w:b/>
                <w:bCs/>
              </w:rPr>
            </w:pPr>
          </w:p>
          <w:p w14:paraId="029A89F2" w14:textId="1BEB8F2B" w:rsidR="009B7D2B" w:rsidRPr="00624A65" w:rsidRDefault="009B7D2B" w:rsidP="00D25F50">
            <w:pPr>
              <w:jc w:val="center"/>
              <w:rPr>
                <w:b/>
                <w:bCs/>
              </w:rPr>
            </w:pPr>
          </w:p>
        </w:tc>
      </w:tr>
      <w:tr w:rsidR="00C85886" w:rsidRPr="00624A65" w14:paraId="76E7BD29" w14:textId="77777777" w:rsidTr="005B4396">
        <w:trPr>
          <w:trHeight w:val="433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21FD516D" w:rsidR="00624A65" w:rsidRPr="00624A65" w:rsidRDefault="00D752D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PRIORYTET:</w:t>
            </w:r>
          </w:p>
        </w:tc>
        <w:tc>
          <w:tcPr>
            <w:tcW w:w="111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4F041126" w:rsidR="00624A65" w:rsidRPr="00624A65" w:rsidRDefault="007C133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24A65" w:rsidRPr="00624A65">
              <w:rPr>
                <w:b/>
                <w:bCs/>
              </w:rPr>
              <w:t>.</w:t>
            </w:r>
            <w:r w:rsidR="00AE0917">
              <w:rPr>
                <w:b/>
                <w:bCs/>
              </w:rPr>
              <w:t xml:space="preserve"> </w:t>
            </w:r>
            <w:r w:rsidR="00AE0917" w:rsidRPr="00AE0917">
              <w:rPr>
                <w:b/>
                <w:bCs/>
                <w:sz w:val="23"/>
                <w:szCs w:val="23"/>
              </w:rPr>
              <w:t>Fundusze Europejskie dla dostępności Świętokrzyskiego</w:t>
            </w:r>
          </w:p>
        </w:tc>
      </w:tr>
      <w:tr w:rsidR="00624A65" w:rsidRPr="00624A65" w14:paraId="1B912F67" w14:textId="77777777" w:rsidTr="005B4396">
        <w:trPr>
          <w:trHeight w:val="425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DZIAŁANIE: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3F723612" w14:textId="50BD182B" w:rsidR="00624A65" w:rsidRPr="00624A65" w:rsidRDefault="007C133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24A65" w:rsidRPr="00624A65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="00624A65" w:rsidRPr="00624A6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Rozwój transportu zbiorowego i poprawa bezpieczeństwa ruchu</w:t>
            </w:r>
          </w:p>
        </w:tc>
      </w:tr>
      <w:tr w:rsidR="00624A65" w:rsidRPr="00624A65" w14:paraId="200AD515" w14:textId="77777777" w:rsidTr="005B4396">
        <w:trPr>
          <w:trHeight w:val="402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Typ projektu: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06E526B6" w14:textId="6BAFFE7A" w:rsidR="00624A65" w:rsidRPr="007C1339" w:rsidRDefault="007C1339" w:rsidP="007C1339">
            <w:pPr>
              <w:rPr>
                <w:b/>
                <w:bCs/>
              </w:rPr>
            </w:pPr>
            <w:r w:rsidRPr="007C1339">
              <w:rPr>
                <w:b/>
                <w:bCs/>
              </w:rPr>
              <w:t>Zakup bezemisyjnego taboru kolejowego</w:t>
            </w:r>
          </w:p>
        </w:tc>
      </w:tr>
      <w:tr w:rsidR="00624A65" w:rsidRPr="00624A65" w14:paraId="56424611" w14:textId="77777777" w:rsidTr="005B4396">
        <w:trPr>
          <w:trHeight w:val="421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Tryb wyboru: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5F90EF89" w14:textId="71858017" w:rsidR="00624A65" w:rsidRPr="00624A65" w:rsidRDefault="000B2BF8">
            <w:pPr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  <w:r w:rsidR="00624A65" w:rsidRPr="00624A65">
              <w:rPr>
                <w:b/>
                <w:bCs/>
              </w:rPr>
              <w:t>konkurencyjny</w:t>
            </w:r>
          </w:p>
        </w:tc>
      </w:tr>
      <w:tr w:rsidR="00624A65" w:rsidRPr="00624A65" w14:paraId="6B9B21E4" w14:textId="77777777" w:rsidTr="005B4396">
        <w:trPr>
          <w:trHeight w:val="720"/>
        </w:trPr>
        <w:tc>
          <w:tcPr>
            <w:tcW w:w="2835" w:type="dxa"/>
            <w:noWrap/>
            <w:hideMark/>
          </w:tcPr>
          <w:p w14:paraId="4786D836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Wnioskodawca: </w:t>
            </w:r>
          </w:p>
        </w:tc>
        <w:tc>
          <w:tcPr>
            <w:tcW w:w="11159" w:type="dxa"/>
            <w:hideMark/>
          </w:tcPr>
          <w:p w14:paraId="1B2167E3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0DF7CF79" w14:textId="77777777" w:rsidTr="005B4396">
        <w:trPr>
          <w:trHeight w:val="76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39700B0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Tytuł projektu: </w:t>
            </w:r>
          </w:p>
        </w:tc>
        <w:tc>
          <w:tcPr>
            <w:tcW w:w="11159" w:type="dxa"/>
            <w:shd w:val="clear" w:color="auto" w:fill="F2F2F2" w:themeFill="background1" w:themeFillShade="F2"/>
            <w:hideMark/>
          </w:tcPr>
          <w:p w14:paraId="1A641EA1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3DB34DB2" w14:textId="77777777" w:rsidTr="005B4396">
        <w:trPr>
          <w:trHeight w:val="720"/>
        </w:trPr>
        <w:tc>
          <w:tcPr>
            <w:tcW w:w="2835" w:type="dxa"/>
            <w:noWrap/>
            <w:hideMark/>
          </w:tcPr>
          <w:p w14:paraId="76DF0548" w14:textId="68166AA6" w:rsidR="00624A65" w:rsidRPr="00624A65" w:rsidRDefault="00D752D5">
            <w:pPr>
              <w:rPr>
                <w:b/>
                <w:bCs/>
              </w:rPr>
            </w:pPr>
            <w:r>
              <w:rPr>
                <w:b/>
                <w:bCs/>
              </w:rPr>
              <w:t>Wydatki ogółem</w:t>
            </w:r>
            <w:r w:rsidR="00624A65" w:rsidRPr="00624A65">
              <w:rPr>
                <w:b/>
                <w:bCs/>
              </w:rPr>
              <w:t>:</w:t>
            </w:r>
          </w:p>
        </w:tc>
        <w:tc>
          <w:tcPr>
            <w:tcW w:w="11159" w:type="dxa"/>
            <w:noWrap/>
            <w:hideMark/>
          </w:tcPr>
          <w:p w14:paraId="7FCB84D1" w14:textId="77777777" w:rsidR="00624A65" w:rsidRPr="00624A65" w:rsidRDefault="00624A65"/>
        </w:tc>
      </w:tr>
      <w:tr w:rsidR="00624A65" w:rsidRPr="00624A65" w14:paraId="25A48112" w14:textId="77777777" w:rsidTr="005B4396">
        <w:trPr>
          <w:trHeight w:val="600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22B8849A" w14:textId="213604D7" w:rsidR="00624A65" w:rsidRPr="00624A65" w:rsidRDefault="00D752D5">
            <w:pPr>
              <w:rPr>
                <w:b/>
                <w:bCs/>
              </w:rPr>
            </w:pPr>
            <w:r>
              <w:rPr>
                <w:b/>
                <w:bCs/>
              </w:rPr>
              <w:t>Wydatki</w:t>
            </w:r>
            <w:r w:rsidR="00624A65" w:rsidRPr="00624A65">
              <w:rPr>
                <w:b/>
                <w:bCs/>
              </w:rPr>
              <w:t xml:space="preserve"> kwalifikowalne: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3F9A831B" w14:textId="77777777" w:rsidR="00624A65" w:rsidRPr="00624A65" w:rsidRDefault="00624A65"/>
        </w:tc>
      </w:tr>
      <w:tr w:rsidR="00624A65" w:rsidRPr="00624A65" w14:paraId="5476C776" w14:textId="77777777" w:rsidTr="005B4396">
        <w:trPr>
          <w:trHeight w:val="585"/>
        </w:trPr>
        <w:tc>
          <w:tcPr>
            <w:tcW w:w="2835" w:type="dxa"/>
            <w:noWrap/>
            <w:hideMark/>
          </w:tcPr>
          <w:p w14:paraId="32F85659" w14:textId="6FB4A493" w:rsidR="00624A65" w:rsidRPr="00624A65" w:rsidRDefault="00D752D5">
            <w:pPr>
              <w:rPr>
                <w:b/>
                <w:bCs/>
              </w:rPr>
            </w:pPr>
            <w:r>
              <w:rPr>
                <w:b/>
                <w:bCs/>
              </w:rPr>
              <w:t>Wnioskowane d</w:t>
            </w:r>
            <w:r w:rsidR="00624A65" w:rsidRPr="00624A65">
              <w:rPr>
                <w:b/>
                <w:bCs/>
              </w:rPr>
              <w:t>ofinansowani</w:t>
            </w:r>
            <w:r>
              <w:rPr>
                <w:b/>
                <w:bCs/>
              </w:rPr>
              <w:t>e</w:t>
            </w:r>
            <w:r w:rsidR="00624A65" w:rsidRPr="00624A65">
              <w:rPr>
                <w:b/>
                <w:bCs/>
              </w:rPr>
              <w:t>:</w:t>
            </w:r>
          </w:p>
        </w:tc>
        <w:tc>
          <w:tcPr>
            <w:tcW w:w="11159" w:type="dxa"/>
            <w:noWrap/>
            <w:hideMark/>
          </w:tcPr>
          <w:p w14:paraId="10958E0A" w14:textId="77777777" w:rsidR="00624A65" w:rsidRPr="00624A65" w:rsidRDefault="00624A65"/>
        </w:tc>
      </w:tr>
      <w:tr w:rsidR="00624A65" w:rsidRPr="00624A65" w14:paraId="1829A2AE" w14:textId="77777777" w:rsidTr="005B4396">
        <w:trPr>
          <w:trHeight w:val="61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6BCECBB0" w14:textId="77777777" w:rsidR="00624A65" w:rsidRPr="00624A65" w:rsidRDefault="00624A65" w:rsidP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 tym EFRR: 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4D8C3DBF" w14:textId="77777777" w:rsidR="00624A65" w:rsidRPr="00624A65" w:rsidRDefault="00624A65"/>
        </w:tc>
      </w:tr>
      <w:tr w:rsidR="001352C1" w:rsidRPr="00624A65" w14:paraId="7EDB4E23" w14:textId="77777777" w:rsidTr="005B4396">
        <w:trPr>
          <w:trHeight w:val="705"/>
        </w:trPr>
        <w:tc>
          <w:tcPr>
            <w:tcW w:w="2835" w:type="dxa"/>
            <w:noWrap/>
            <w:hideMark/>
          </w:tcPr>
          <w:p w14:paraId="1B7048B7" w14:textId="77777777" w:rsidR="001352C1" w:rsidRPr="00624A65" w:rsidRDefault="001352C1">
            <w:r w:rsidRPr="00624A65">
              <w:rPr>
                <w:b/>
                <w:bCs/>
              </w:rPr>
              <w:t>Nr ew. wniosku:</w:t>
            </w:r>
          </w:p>
        </w:tc>
        <w:tc>
          <w:tcPr>
            <w:tcW w:w="11159" w:type="dxa"/>
          </w:tcPr>
          <w:p w14:paraId="169C2244" w14:textId="6695C9EC" w:rsidR="001352C1" w:rsidRPr="001352C1" w:rsidRDefault="001352C1">
            <w:pPr>
              <w:rPr>
                <w:color w:val="FF0000"/>
              </w:rPr>
            </w:pPr>
            <w:bookmarkStart w:id="0" w:name="RANGE!C14"/>
            <w:bookmarkEnd w:id="0"/>
          </w:p>
        </w:tc>
      </w:tr>
    </w:tbl>
    <w:p w14:paraId="0BC95EA0" w14:textId="77777777" w:rsidR="00BF4F6F" w:rsidRDefault="00AC240E">
      <w:pPr>
        <w:sectPr w:rsidR="00BF4F6F" w:rsidSect="00AC240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417" w:bottom="567" w:left="1417" w:header="708" w:footer="708" w:gutter="0"/>
          <w:cols w:space="708"/>
          <w:titlePg/>
          <w:docGrid w:linePitch="360"/>
        </w:sectPr>
      </w:pPr>
      <w:r>
        <w:br w:type="page"/>
      </w:r>
    </w:p>
    <w:tbl>
      <w:tblPr>
        <w:tblStyle w:val="Tabela-Siatka"/>
        <w:tblW w:w="15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572"/>
        <w:gridCol w:w="762"/>
        <w:gridCol w:w="753"/>
        <w:gridCol w:w="648"/>
        <w:gridCol w:w="113"/>
        <w:gridCol w:w="619"/>
        <w:gridCol w:w="1110"/>
        <w:gridCol w:w="2208"/>
        <w:gridCol w:w="13"/>
        <w:gridCol w:w="236"/>
      </w:tblGrid>
      <w:tr w:rsidR="00624A65" w:rsidRPr="00042EF1" w14:paraId="073FF091" w14:textId="77777777" w:rsidTr="00042EF1">
        <w:trPr>
          <w:gridAfter w:val="2"/>
          <w:wAfter w:w="249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042EF1" w:rsidRDefault="00624A65">
            <w:pPr>
              <w:rPr>
                <w:b/>
                <w:bCs/>
                <w:sz w:val="24"/>
                <w:szCs w:val="24"/>
              </w:rPr>
            </w:pPr>
            <w:bookmarkStart w:id="1" w:name="RANGE!A2:H28"/>
            <w:bookmarkEnd w:id="1"/>
            <w:r w:rsidRPr="00042EF1">
              <w:rPr>
                <w:b/>
                <w:bCs/>
                <w:sz w:val="24"/>
                <w:szCs w:val="24"/>
              </w:rPr>
              <w:lastRenderedPageBreak/>
              <w:t>KRYTERIA FORMALNE</w:t>
            </w:r>
          </w:p>
        </w:tc>
        <w:tc>
          <w:tcPr>
            <w:tcW w:w="5572" w:type="dxa"/>
            <w:hideMark/>
          </w:tcPr>
          <w:p w14:paraId="48515901" w14:textId="77777777" w:rsidR="00624A65" w:rsidRPr="00042EF1" w:rsidRDefault="00624A6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noWrap/>
            <w:hideMark/>
          </w:tcPr>
          <w:p w14:paraId="73D0543A" w14:textId="77777777" w:rsidR="00624A65" w:rsidRPr="00042EF1" w:rsidRDefault="00624A65">
            <w:pPr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noWrap/>
            <w:hideMark/>
          </w:tcPr>
          <w:p w14:paraId="1A3C1F3F" w14:textId="77777777" w:rsidR="00624A65" w:rsidRPr="00042EF1" w:rsidRDefault="00624A65" w:rsidP="00624A6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noWrap/>
            <w:hideMark/>
          </w:tcPr>
          <w:p w14:paraId="0F877634" w14:textId="77777777" w:rsidR="00624A65" w:rsidRPr="00042EF1" w:rsidRDefault="00624A65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noWrap/>
            <w:hideMark/>
          </w:tcPr>
          <w:p w14:paraId="5ACE52D9" w14:textId="77777777" w:rsidR="00624A65" w:rsidRPr="00042EF1" w:rsidRDefault="00624A6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14:paraId="384D443F" w14:textId="77777777" w:rsidR="00624A65" w:rsidRPr="00042EF1" w:rsidRDefault="00624A65" w:rsidP="00624A65">
            <w:pPr>
              <w:rPr>
                <w:sz w:val="24"/>
                <w:szCs w:val="24"/>
              </w:rPr>
            </w:pPr>
          </w:p>
        </w:tc>
      </w:tr>
      <w:tr w:rsidR="00624A65" w:rsidRPr="00624A65" w14:paraId="6E38CE32" w14:textId="77777777" w:rsidTr="00042EF1">
        <w:trPr>
          <w:gridAfter w:val="2"/>
          <w:wAfter w:w="249" w:type="dxa"/>
          <w:trHeight w:val="315"/>
        </w:trPr>
        <w:tc>
          <w:tcPr>
            <w:tcW w:w="9453" w:type="dxa"/>
            <w:gridSpan w:val="4"/>
            <w:noWrap/>
            <w:hideMark/>
          </w:tcPr>
          <w:p w14:paraId="3AFCAFAF" w14:textId="77777777" w:rsidR="00624A65" w:rsidRPr="00624A65" w:rsidRDefault="00624A65">
            <w:pPr>
              <w:rPr>
                <w:i/>
                <w:iCs/>
              </w:rPr>
            </w:pPr>
            <w:r w:rsidRPr="00624A65">
              <w:rPr>
                <w:i/>
                <w:iCs/>
              </w:rPr>
              <w:t>(Niespełnienie co najmniej jednego z wymienionych poniżej kryteriów powoduje odrzucenie projektu)</w:t>
            </w:r>
          </w:p>
        </w:tc>
        <w:tc>
          <w:tcPr>
            <w:tcW w:w="753" w:type="dxa"/>
            <w:noWrap/>
            <w:hideMark/>
          </w:tcPr>
          <w:p w14:paraId="0AECB195" w14:textId="77777777" w:rsidR="00624A65" w:rsidRPr="00624A65" w:rsidRDefault="00624A65">
            <w:pPr>
              <w:rPr>
                <w:i/>
                <w:iCs/>
              </w:rPr>
            </w:pPr>
          </w:p>
        </w:tc>
        <w:tc>
          <w:tcPr>
            <w:tcW w:w="761" w:type="dxa"/>
            <w:gridSpan w:val="2"/>
            <w:noWrap/>
            <w:hideMark/>
          </w:tcPr>
          <w:p w14:paraId="35654EE9" w14:textId="77777777" w:rsidR="00624A65" w:rsidRPr="00624A65" w:rsidRDefault="00624A65" w:rsidP="00624A65"/>
        </w:tc>
        <w:tc>
          <w:tcPr>
            <w:tcW w:w="619" w:type="dxa"/>
            <w:noWrap/>
            <w:hideMark/>
          </w:tcPr>
          <w:p w14:paraId="0A9119D0" w14:textId="77777777" w:rsidR="00624A65" w:rsidRPr="00624A65" w:rsidRDefault="00624A65"/>
        </w:tc>
        <w:tc>
          <w:tcPr>
            <w:tcW w:w="1110" w:type="dxa"/>
            <w:noWrap/>
            <w:hideMark/>
          </w:tcPr>
          <w:p w14:paraId="7B97F9E1" w14:textId="77777777" w:rsidR="00624A65" w:rsidRPr="00624A65" w:rsidRDefault="00624A65"/>
        </w:tc>
        <w:tc>
          <w:tcPr>
            <w:tcW w:w="2208" w:type="dxa"/>
            <w:noWrap/>
            <w:hideMark/>
          </w:tcPr>
          <w:p w14:paraId="105A2B38" w14:textId="77777777" w:rsidR="00624A65" w:rsidRPr="00624A65" w:rsidRDefault="00624A65" w:rsidP="00624A65"/>
        </w:tc>
      </w:tr>
      <w:tr w:rsidR="0050689A" w:rsidRPr="00042EF1" w14:paraId="295A9492" w14:textId="77777777" w:rsidTr="00042EF1">
        <w:trPr>
          <w:gridAfter w:val="2"/>
          <w:wAfter w:w="249" w:type="dxa"/>
          <w:trHeight w:val="7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4D4D4"/>
            <w:noWrap/>
            <w:hideMark/>
          </w:tcPr>
          <w:p w14:paraId="0970C25B" w14:textId="77777777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4D4D4"/>
            <w:hideMark/>
          </w:tcPr>
          <w:p w14:paraId="45DCD388" w14:textId="77777777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Nazwa kryterium</w:t>
            </w:r>
          </w:p>
        </w:tc>
        <w:tc>
          <w:tcPr>
            <w:tcW w:w="5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4D4D4"/>
            <w:hideMark/>
          </w:tcPr>
          <w:p w14:paraId="43ABE445" w14:textId="77777777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4D4D4"/>
            <w:hideMark/>
          </w:tcPr>
          <w:p w14:paraId="095EA085" w14:textId="77777777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Możliwość poprawy lub uzupełnienia</w:t>
            </w:r>
          </w:p>
          <w:p w14:paraId="3460F911" w14:textId="623C3691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(TAK/NIE)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noWrap/>
          </w:tcPr>
          <w:p w14:paraId="0A061419" w14:textId="053319BF" w:rsidR="0050689A" w:rsidRPr="00042EF1" w:rsidRDefault="0050689A" w:rsidP="0050689A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Wynik oceny spełniania kryterium</w:t>
            </w:r>
            <w:r w:rsidRPr="00042EF1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4D4D4"/>
            <w:noWrap/>
            <w:hideMark/>
          </w:tcPr>
          <w:p w14:paraId="263DBBCE" w14:textId="77777777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Uwagi</w:t>
            </w:r>
          </w:p>
        </w:tc>
      </w:tr>
      <w:tr w:rsidR="0050689A" w:rsidRPr="00624A65" w14:paraId="6D14B201" w14:textId="77777777" w:rsidTr="00042EF1">
        <w:trPr>
          <w:gridAfter w:val="2"/>
          <w:wAfter w:w="249" w:type="dxa"/>
          <w:trHeight w:val="7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E6B63" w14:textId="77777777" w:rsidR="0050689A" w:rsidRPr="00624A65" w:rsidRDefault="0050689A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DAA775" w14:textId="77777777" w:rsidR="0050689A" w:rsidRPr="00624A65" w:rsidRDefault="0050689A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5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FBF7" w14:textId="77777777" w:rsidR="0050689A" w:rsidRPr="00624A65" w:rsidRDefault="0050689A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0CD8A5" w14:textId="77777777" w:rsidR="0050689A" w:rsidRPr="00B10277" w:rsidRDefault="0050689A" w:rsidP="00BD4F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noWrap/>
          </w:tcPr>
          <w:p w14:paraId="75E00855" w14:textId="5F8D7F4D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TAK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noWrap/>
          </w:tcPr>
          <w:p w14:paraId="2EAC8F47" w14:textId="29DF25DD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NIE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</w:tcPr>
          <w:p w14:paraId="2D016DF0" w14:textId="1708485B" w:rsidR="0050689A" w:rsidRPr="00042EF1" w:rsidRDefault="0050689A" w:rsidP="00BD4F22">
            <w:pPr>
              <w:jc w:val="center"/>
              <w:rPr>
                <w:b/>
                <w:bCs/>
              </w:rPr>
            </w:pPr>
            <w:r w:rsidRPr="00042EF1">
              <w:rPr>
                <w:b/>
                <w:bCs/>
              </w:rPr>
              <w:t>NIE DOTYCZY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34D2E" w14:textId="77777777" w:rsidR="0050689A" w:rsidRPr="00042EF1" w:rsidRDefault="0050689A" w:rsidP="00BD4F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B7D2B" w:rsidRPr="001352C1" w14:paraId="78572616" w14:textId="77777777" w:rsidTr="00042EF1">
        <w:trPr>
          <w:gridAfter w:val="2"/>
          <w:wAfter w:w="249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24A65" w:rsidRDefault="001352C1" w:rsidP="001352C1">
            <w:r w:rsidRPr="00624A65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BC7296" w14:textId="77777777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C64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746D8" w14:textId="42558FE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59707" w14:textId="50157978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1F90C1" w14:textId="6B473DD6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CD5BC5A" w14:textId="77777777" w:rsidTr="00042EF1">
        <w:trPr>
          <w:gridAfter w:val="2"/>
          <w:wAfter w:w="249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24A65" w:rsidRDefault="001352C1" w:rsidP="001352C1">
            <w:r w:rsidRPr="00624A65"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5E7D89" w14:textId="1732F864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 w:rsidR="009B7D2B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 w:rsidR="003958D4"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 w:rsidR="003958D4"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9E7E" w14:textId="77777777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 w:rsidR="00665F28">
              <w:rPr>
                <w:sz w:val="20"/>
                <w:szCs w:val="20"/>
              </w:rPr>
              <w:t>,</w:t>
            </w:r>
          </w:p>
          <w:p w14:paraId="4ED8B8D7" w14:textId="0B5390DA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099082E4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B9E72B" w14:textId="210D8B4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63E67" w14:textId="19BD11D6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F4D0E7" w14:textId="5AC326A3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762D89D" w14:textId="77777777" w:rsidTr="00042EF1">
        <w:trPr>
          <w:gridAfter w:val="2"/>
          <w:wAfter w:w="249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24A65" w:rsidRDefault="001352C1" w:rsidP="001352C1">
            <w:r w:rsidRPr="00624A65"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DA0D0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EFDD" w14:textId="77777777" w:rsid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5C846A69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="00C27D88" w:rsidRPr="00BA5815"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>, SzOP</w:t>
            </w:r>
            <w:r w:rsidR="00C27D88" w:rsidRPr="00BA5815">
              <w:rPr>
                <w:rStyle w:val="Odwoanieprzypisudolnego"/>
                <w:sz w:val="20"/>
                <w:szCs w:val="20"/>
              </w:rPr>
              <w:footnoteReference w:id="3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1164652C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2A1FB949" w14:textId="77777777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art. 207 ust. 4 ustawy z dnia 27 sierpnia 2009 roku o finansach publicznych,</w:t>
            </w:r>
          </w:p>
          <w:p w14:paraId="245BC205" w14:textId="7723FE79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0AD06C5" w14:textId="2D5155F7" w:rsidR="002A4827" w:rsidRP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35D235DC" w:rsidR="001352C1" w:rsidRP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536821" w14:textId="0FB6A0DA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E8C7C" w14:textId="14A984D3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F04A5D" w14:textId="71B6683F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59BE104" w14:textId="77777777" w:rsidTr="00042EF1">
        <w:trPr>
          <w:gridAfter w:val="2"/>
          <w:wAfter w:w="249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24A65" w:rsidRDefault="001352C1" w:rsidP="001352C1">
            <w:r w:rsidRPr="00624A65"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4E28C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875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</w:t>
            </w:r>
            <w:r w:rsidRPr="001352C1">
              <w:rPr>
                <w:sz w:val="20"/>
                <w:szCs w:val="20"/>
              </w:rPr>
              <w:lastRenderedPageBreak/>
              <w:t>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D4A4B6" w14:textId="238CB433" w:rsidR="001352C1" w:rsidRPr="009B7D2B" w:rsidRDefault="001352C1" w:rsidP="001352C1">
            <w:pPr>
              <w:jc w:val="center"/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FDC58" w14:textId="687E20DB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74EA1F" w14:textId="7B4E0DE7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19A1020D" w14:textId="77777777" w:rsidTr="00042EF1">
        <w:trPr>
          <w:gridAfter w:val="2"/>
          <w:wAfter w:w="249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24A65" w:rsidRDefault="001352C1" w:rsidP="001352C1">
            <w:r w:rsidRPr="00624A65"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88C43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215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55D861" w14:textId="0E87B0E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AFB25" w14:textId="3A94CB0A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61A8A9" w14:textId="0AE7A5B5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6393E28C" w14:textId="77777777" w:rsidTr="00042EF1">
        <w:trPr>
          <w:gridAfter w:val="2"/>
          <w:wAfter w:w="249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24A65" w:rsidRDefault="001352C1" w:rsidP="001352C1">
            <w:r w:rsidRPr="00624A65"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D1E97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4420" w14:textId="77777777" w:rsidR="00796912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 w:rsidR="00796912">
              <w:rPr>
                <w:sz w:val="20"/>
                <w:szCs w:val="20"/>
              </w:rPr>
              <w:t>;</w:t>
            </w:r>
          </w:p>
          <w:p w14:paraId="5DEE7ABF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5199BBEA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BC5AC2" w14:textId="61900DA1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27303" w14:textId="17A179E8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32E5D9" w14:textId="55C2C4B5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580789A" w14:textId="77777777" w:rsidTr="00042EF1">
        <w:trPr>
          <w:gridAfter w:val="2"/>
          <w:wAfter w:w="249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24A65" w:rsidRDefault="001352C1" w:rsidP="001352C1">
            <w:r w:rsidRPr="00624A65"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6454BF" w14:textId="49BBF6CC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 w:rsidR="00C27D88">
              <w:rPr>
                <w:rStyle w:val="Odwoanieprzypisudolnego"/>
                <w:b/>
                <w:bCs/>
              </w:rPr>
              <w:footnoteReference w:id="4"/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2563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EB2680" w14:textId="1B9C6C1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0C6AE" w14:textId="10D1B324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42D44F" w14:textId="72C3786F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2634C3E" w14:textId="77777777" w:rsidTr="00042EF1">
        <w:trPr>
          <w:gridAfter w:val="2"/>
          <w:wAfter w:w="249" w:type="dxa"/>
          <w:trHeight w:val="3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24A65" w:rsidRDefault="001352C1" w:rsidP="001352C1">
            <w:r w:rsidRPr="00624A65"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00C688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4E7C" w14:textId="2073C7E9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 dofinansowanie spełniają określone w FEŚ 2021 – 2027, SzOP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48C749" w14:textId="039149F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20600" w14:textId="50EDF681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CF69B" w14:textId="67EA5094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4B40D753" w14:textId="77777777" w:rsidTr="00042EF1">
        <w:trPr>
          <w:gridAfter w:val="2"/>
          <w:wAfter w:w="249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24A65" w:rsidRDefault="001352C1" w:rsidP="001352C1">
            <w:r w:rsidRPr="00624A65"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666876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3FE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 typami projektów określonymi w FEŚ 2021 – 2027, SzOP dla Działania którego dotyczy nabór oraz w regulaminie wyboru projektów.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1B1E65" w14:textId="5076F30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9E47A" w14:textId="51DB4CB9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F09B8" w14:textId="046214A8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165AFEE" w14:textId="77777777" w:rsidTr="00042EF1">
        <w:trPr>
          <w:gridAfter w:val="2"/>
          <w:wAfter w:w="249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24A65" w:rsidRDefault="001352C1" w:rsidP="001352C1">
            <w:r w:rsidRPr="00624A65"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FC2B8C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4A90" w14:textId="7FE7FF31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7C52B3" w14:textId="761EEAB2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D7572" w14:textId="19397EE1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0F56C7" w14:textId="4522D723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2C6E44E" w14:textId="77777777" w:rsidTr="00042EF1">
        <w:trPr>
          <w:gridAfter w:val="2"/>
          <w:wAfter w:w="249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24A65" w:rsidRDefault="001352C1" w:rsidP="001352C1">
            <w:r w:rsidRPr="00624A65"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73C0F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58E1" w14:textId="7F60F330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7"/>
            </w:r>
            <w:r w:rsidRPr="001352C1">
              <w:rPr>
                <w:sz w:val="20"/>
                <w:szCs w:val="20"/>
              </w:rPr>
              <w:t>)</w:t>
            </w:r>
            <w:r w:rsidR="000B316A">
              <w:rPr>
                <w:sz w:val="20"/>
                <w:szCs w:val="20"/>
              </w:rPr>
              <w:t>.</w:t>
            </w:r>
          </w:p>
          <w:p w14:paraId="707FA42A" w14:textId="141E6808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Przez pozytywny wpływ należy rozumieć zapewnienie dostępności infrastruktury, środków transportu, towarów, usług, technologii i systemów informacyjno -</w:t>
            </w:r>
            <w:r w:rsidR="00042EF1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 xml:space="preserve">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86C7E1" w14:textId="7F6CF75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020B" w14:textId="46E7F0A4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EE2AD9" w14:textId="4CBF3790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EE5D3B5" w14:textId="77777777" w:rsidTr="00042EF1">
        <w:trPr>
          <w:gridAfter w:val="2"/>
          <w:wAfter w:w="249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24A65" w:rsidRDefault="001352C1" w:rsidP="001352C1">
            <w:r w:rsidRPr="00624A65"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36CCB9" w14:textId="040656A2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>
              <w:rPr>
                <w:rStyle w:val="Odwoanieprzypisudolnego"/>
                <w:b/>
                <w:bCs/>
              </w:rPr>
              <w:footnoteReference w:id="8"/>
            </w:r>
            <w:r w:rsidRPr="00624A65">
              <w:rPr>
                <w:b/>
                <w:bCs/>
              </w:rPr>
              <w:t>. W przypadku, gdy beneficjentem jest jednostka samorządu terytorialnego (lub podmiot przez nią kontrolowany lub od niej zależny), która podjęła jakiekolwiek działania dyskryminujące, sprzeczne z zasadami, o których mowa w art. 9 ust. 3 Rozporządzenia ogólnego, wsparcie w ramach polityki spójności nie może być udzielone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BC55" w14:textId="605CD868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Umową Partnerstwa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9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42D3E05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0D981D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43D30BD3" w14:textId="25C7758A" w:rsid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B5B4B5" w14:textId="06AC7CA9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26F6C" w14:textId="49B55491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D98330" w14:textId="1935C8A2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BF47285" w14:textId="77777777" w:rsidTr="00042EF1">
        <w:trPr>
          <w:gridAfter w:val="2"/>
          <w:wAfter w:w="249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24A65" w:rsidRDefault="001352C1" w:rsidP="001352C1">
            <w:r w:rsidRPr="00624A65"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36B20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DA63" w14:textId="77777777" w:rsidR="00FD2090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4F7189A2" w14:textId="26167FD6" w:rsidR="001352C1" w:rsidRP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B9F1FA" w14:textId="38A1C6BE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4F3C3" w14:textId="237D8FC4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8867EB" w14:textId="0DA9D582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7FE0D55" w14:textId="77777777" w:rsidTr="00042EF1">
        <w:trPr>
          <w:gridAfter w:val="2"/>
          <w:wAfter w:w="249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24A65" w:rsidRDefault="001352C1" w:rsidP="001352C1">
            <w:r w:rsidRPr="00624A65"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9C6B6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6FDD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12D0A789" w14:textId="06175EBD" w:rsidR="001352C1" w:rsidRP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B7DBD4" w14:textId="386D340A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94289" w14:textId="168368CF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FA5889" w14:textId="1341E990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E9C9D65" w14:textId="77777777" w:rsidTr="00042EF1">
        <w:trPr>
          <w:gridAfter w:val="2"/>
          <w:wAfter w:w="249" w:type="dxa"/>
          <w:trHeight w:val="2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24A65" w:rsidRDefault="001352C1" w:rsidP="001352C1">
            <w:r w:rsidRPr="00624A65"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8315A2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C851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5E879C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EECAD71" w14:textId="741D8F15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 w:rsidR="0023004B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2EE4BC1C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220F8DD5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34422488" w14:textId="77777777" w:rsidR="00713956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237A18" w:rsidRDefault="001352C1" w:rsidP="00237A18">
            <w:pPr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>
              <w:rPr>
                <w:sz w:val="20"/>
                <w:szCs w:val="20"/>
              </w:rPr>
              <w:br/>
            </w:r>
            <w:r w:rsidRPr="00237A18">
              <w:rPr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06BB80" w14:textId="4970BF58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3CA4F" w14:textId="76CDB77D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850402" w14:textId="57F872EA" w:rsidR="001352C1" w:rsidRPr="00F138A3" w:rsidRDefault="003852E2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624A65" w:rsidRPr="00624A65" w14:paraId="3FB6DBD8" w14:textId="77777777" w:rsidTr="00042EF1">
        <w:trPr>
          <w:gridAfter w:val="1"/>
          <w:wAfter w:w="236" w:type="dxa"/>
          <w:trHeight w:val="555"/>
        </w:trPr>
        <w:tc>
          <w:tcPr>
            <w:tcW w:w="14917" w:type="dxa"/>
            <w:gridSpan w:val="11"/>
            <w:vMerge w:val="restart"/>
            <w:hideMark/>
          </w:tcPr>
          <w:p w14:paraId="24BB2F0D" w14:textId="77777777" w:rsidR="00F829FD" w:rsidRPr="00C85886" w:rsidRDefault="00F829FD" w:rsidP="007A4BA0">
            <w:pPr>
              <w:ind w:left="-112" w:right="1136"/>
            </w:pPr>
          </w:p>
          <w:tbl>
            <w:tblPr>
              <w:tblStyle w:val="Tabela-Siatka"/>
              <w:tblW w:w="14207" w:type="dxa"/>
              <w:tblLayout w:type="fixed"/>
              <w:tblLook w:val="04A0" w:firstRow="1" w:lastRow="0" w:firstColumn="1" w:lastColumn="0" w:noHBand="0" w:noVBand="1"/>
            </w:tblPr>
            <w:tblGrid>
              <w:gridCol w:w="14207"/>
            </w:tblGrid>
            <w:tr w:rsidR="001352C1" w14:paraId="33E7D3D4" w14:textId="77777777" w:rsidTr="00EA7D61">
              <w:tc>
                <w:tcPr>
                  <w:tcW w:w="14207" w:type="dxa"/>
                </w:tcPr>
                <w:p w14:paraId="73C81D81" w14:textId="4A504255" w:rsidR="001352C1" w:rsidRDefault="0050689A" w:rsidP="007A4BA0">
                  <w:pPr>
                    <w:ind w:left="-112" w:right="1136"/>
                    <w:rPr>
                      <w:b/>
                      <w:bCs/>
                    </w:rPr>
                  </w:pPr>
                  <w:r w:rsidRPr="0050689A">
                    <w:rPr>
                      <w:b/>
                      <w:bCs/>
                    </w:rPr>
                    <w:t>Uzasadnienie</w:t>
                  </w:r>
                  <w:r w:rsidR="00EA7D61">
                    <w:rPr>
                      <w:b/>
                      <w:bCs/>
                    </w:rPr>
                    <w:t xml:space="preserve"> </w:t>
                  </w:r>
                  <w:r w:rsidRPr="0050689A">
                    <w:rPr>
                      <w:b/>
                      <w:bCs/>
                    </w:rPr>
                    <w:t>oceny formalnej</w:t>
                  </w:r>
                  <w:r w:rsidR="00EA7D61">
                    <w:rPr>
                      <w:b/>
                      <w:bCs/>
                    </w:rPr>
                    <w:t>:</w:t>
                  </w:r>
                </w:p>
                <w:p w14:paraId="5B24F56A" w14:textId="7685031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W w:w="1443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92"/>
              <w:gridCol w:w="1618"/>
              <w:gridCol w:w="1784"/>
              <w:gridCol w:w="2391"/>
              <w:gridCol w:w="1216"/>
            </w:tblGrid>
            <w:tr w:rsidR="007A4BA0" w:rsidRPr="009333CF" w14:paraId="234A0FB7" w14:textId="77777777" w:rsidTr="00EA7D61">
              <w:trPr>
                <w:gridAfter w:val="1"/>
                <w:wAfter w:w="227" w:type="dxa"/>
                <w:trHeight w:val="315"/>
              </w:trPr>
              <w:tc>
                <w:tcPr>
                  <w:tcW w:w="142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3F70255" w14:textId="77777777" w:rsidTr="00EA7D61">
              <w:trPr>
                <w:trHeight w:val="402"/>
              </w:trPr>
              <w:tc>
                <w:tcPr>
                  <w:tcW w:w="1421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3045FB7A" w:rsidR="007A4BA0" w:rsidRPr="0043136F" w:rsidRDefault="0050689A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WYNIK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OCENY FORMALNEJ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9333CF" w14:paraId="17DD0B8D" w14:textId="77777777" w:rsidTr="00EA7D61">
              <w:trPr>
                <w:trHeight w:val="402"/>
              </w:trPr>
              <w:tc>
                <w:tcPr>
                  <w:tcW w:w="98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43136F" w:rsidRDefault="007A4BA0" w:rsidP="007A4BA0">
                  <w:pPr>
                    <w:spacing w:after="0" w:line="240" w:lineRule="auto"/>
                    <w:ind w:left="-112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4C9BB01" w14:textId="77777777" w:rsidR="007A4BA0" w:rsidRPr="0043136F" w:rsidRDefault="007A4BA0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A181E8E" w14:textId="77777777" w:rsidR="007A4BA0" w:rsidRPr="0043136F" w:rsidRDefault="007A4BA0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0E5C322" w14:textId="77777777" w:rsidTr="00EA7D61">
              <w:trPr>
                <w:trHeight w:val="402"/>
              </w:trPr>
              <w:tc>
                <w:tcPr>
                  <w:tcW w:w="98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610D187" w14:textId="56D747E0" w:rsidR="007A4BA0" w:rsidRPr="00A907B1" w:rsidRDefault="0050689A" w:rsidP="0050689A">
                  <w:pPr>
                    <w:spacing w:after="0" w:line="240" w:lineRule="auto"/>
                    <w:ind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Projekt </w:t>
                  </w:r>
                  <w:r w:rsidR="007A4BA0"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spełnia kryteria </w:t>
                  </w:r>
                  <w:r w:rsidR="007A4BA0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</w:t>
                  </w: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77777777" w:rsidR="007A4BA0" w:rsidRPr="0043136F" w:rsidRDefault="003852E2" w:rsidP="007A4BA0">
                  <w:pPr>
                    <w:spacing w:after="0" w:line="240" w:lineRule="auto"/>
                    <w:ind w:left="-112" w:right="79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77777777" w:rsidR="007A4BA0" w:rsidRPr="0043136F" w:rsidRDefault="003852E2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 w:rsidRPr="0043136F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57EA8F54" w14:textId="77777777" w:rsidTr="00EA7D61">
              <w:trPr>
                <w:trHeight w:val="402"/>
              </w:trPr>
              <w:tc>
                <w:tcPr>
                  <w:tcW w:w="14439" w:type="dxa"/>
                  <w:gridSpan w:val="5"/>
                  <w:shd w:val="clear" w:color="auto" w:fill="auto"/>
                  <w:vAlign w:val="center"/>
                </w:tcPr>
                <w:p w14:paraId="29C078E4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20532D9A" w14:textId="77777777" w:rsidTr="00EA7D61">
              <w:trPr>
                <w:gridAfter w:val="1"/>
                <w:wAfter w:w="227" w:type="dxa"/>
                <w:trHeight w:val="402"/>
              </w:trPr>
              <w:tc>
                <w:tcPr>
                  <w:tcW w:w="1421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9333CF" w14:paraId="7E21901E" w14:textId="77777777" w:rsidTr="00EA7D61">
              <w:trPr>
                <w:trHeight w:val="402"/>
              </w:trPr>
              <w:tc>
                <w:tcPr>
                  <w:tcW w:w="98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2091ED9" w14:textId="0ACC72C4" w:rsidR="00B914E4" w:rsidRPr="00A907B1" w:rsidRDefault="0050689A" w:rsidP="00B914E4">
                  <w:pPr>
                    <w:spacing w:after="0" w:line="240" w:lineRule="auto"/>
                    <w:ind w:left="110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 uzyskał pozytywną ocenę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został przekazany do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oceny merytorycznej dopuszczającej (kryteria ogólne i specyficzne)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1CBC0DF8" w14:textId="0B75CB49" w:rsidR="00B914E4" w:rsidRPr="0043136F" w:rsidRDefault="003852E2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9333CF" w:rsidRDefault="00B914E4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68FD8271" w14:textId="77777777" w:rsidTr="00EA7D61">
              <w:trPr>
                <w:trHeight w:val="402"/>
              </w:trPr>
              <w:tc>
                <w:tcPr>
                  <w:tcW w:w="98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8A2CC1A" w14:textId="2A4F91CE" w:rsidR="00B914E4" w:rsidRPr="00A907B1" w:rsidRDefault="0050689A" w:rsidP="00B914E4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 uzyskał negatywną ocenę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</w:t>
                  </w:r>
                  <w:r w:rsidR="00EA7D6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50689A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oceny merytorycznej dopuszczającej (kryteria ogólne i specyficzne)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BF7AE87" w14:textId="2DD10104" w:rsidR="00B914E4" w:rsidRPr="0043136F" w:rsidRDefault="003852E2" w:rsidP="00B914E4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77EF0866" w14:textId="77777777" w:rsidTr="00EA7D61">
              <w:trPr>
                <w:gridAfter w:val="1"/>
                <w:wAfter w:w="227" w:type="dxa"/>
                <w:trHeight w:val="330"/>
              </w:trPr>
              <w:tc>
                <w:tcPr>
                  <w:tcW w:w="14212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3AE762AB" w14:textId="77777777" w:rsidTr="00EA7D61">
              <w:trPr>
                <w:gridAfter w:val="1"/>
                <w:wAfter w:w="227" w:type="dxa"/>
                <w:trHeight w:val="330"/>
              </w:trPr>
              <w:tc>
                <w:tcPr>
                  <w:tcW w:w="8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22F96EE3" w:rsidR="00B914E4" w:rsidRPr="009333CF" w:rsidRDefault="0050689A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Pr="0050689A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mię i nazwisko osoby oceniającej projekt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77777777" w:rsidR="00B914E4" w:rsidRPr="009333CF" w:rsidRDefault="00B914E4" w:rsidP="00EA7D61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Data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423D8C97" w:rsidR="00B914E4" w:rsidRPr="009333CF" w:rsidRDefault="00B914E4" w:rsidP="00EA7D61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Podpis</w:t>
                  </w:r>
                  <w:r w:rsidR="0050689A">
                    <w:t xml:space="preserve"> </w:t>
                  </w:r>
                  <w:r w:rsidR="0050689A" w:rsidRPr="0050689A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osoby oceniającej</w:t>
                  </w:r>
                  <w:r w:rsidR="00EA7D61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0689A" w:rsidRPr="0050689A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</w:p>
              </w:tc>
            </w:tr>
            <w:tr w:rsidR="00B914E4" w:rsidRPr="009333CF" w14:paraId="48DCAE22" w14:textId="77777777" w:rsidTr="00EA7D61">
              <w:trPr>
                <w:gridAfter w:val="1"/>
                <w:wAfter w:w="227" w:type="dxa"/>
                <w:trHeight w:val="402"/>
              </w:trPr>
              <w:tc>
                <w:tcPr>
                  <w:tcW w:w="8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24A65" w:rsidRDefault="00C85886" w:rsidP="007A4BA0">
            <w:pPr>
              <w:ind w:left="-112" w:right="1136"/>
              <w:rPr>
                <w:b/>
                <w:bCs/>
              </w:rPr>
            </w:pPr>
          </w:p>
        </w:tc>
      </w:tr>
      <w:tr w:rsidR="00624A65" w:rsidRPr="00624A65" w14:paraId="00CD0DD6" w14:textId="77777777" w:rsidTr="00042EF1">
        <w:trPr>
          <w:trHeight w:val="555"/>
        </w:trPr>
        <w:tc>
          <w:tcPr>
            <w:tcW w:w="14917" w:type="dxa"/>
            <w:gridSpan w:val="11"/>
            <w:vMerge/>
            <w:hideMark/>
          </w:tcPr>
          <w:p w14:paraId="651CB63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198790DC" w14:textId="77777777" w:rsidR="00624A65" w:rsidRPr="00624A65" w:rsidRDefault="00624A65" w:rsidP="00624A65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042EF1">
        <w:trPr>
          <w:trHeight w:val="555"/>
        </w:trPr>
        <w:tc>
          <w:tcPr>
            <w:tcW w:w="14917" w:type="dxa"/>
            <w:gridSpan w:val="11"/>
            <w:vMerge/>
            <w:hideMark/>
          </w:tcPr>
          <w:p w14:paraId="559869E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323FF10" w14:textId="77777777" w:rsidR="00624A65" w:rsidRPr="00624A65" w:rsidRDefault="00624A65"/>
        </w:tc>
      </w:tr>
      <w:tr w:rsidR="00624A65" w:rsidRPr="00624A65" w14:paraId="6EA50A39" w14:textId="77777777" w:rsidTr="00042EF1">
        <w:trPr>
          <w:trHeight w:val="555"/>
        </w:trPr>
        <w:tc>
          <w:tcPr>
            <w:tcW w:w="14917" w:type="dxa"/>
            <w:gridSpan w:val="11"/>
            <w:vMerge/>
            <w:hideMark/>
          </w:tcPr>
          <w:p w14:paraId="50DA57F5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636D2EB0" w14:textId="77777777" w:rsidR="00624A65" w:rsidRPr="00624A65" w:rsidRDefault="00624A65"/>
        </w:tc>
      </w:tr>
      <w:tr w:rsidR="00624A65" w:rsidRPr="00624A65" w14:paraId="5BFBD9EF" w14:textId="77777777" w:rsidTr="00042EF1">
        <w:trPr>
          <w:trHeight w:val="555"/>
        </w:trPr>
        <w:tc>
          <w:tcPr>
            <w:tcW w:w="14917" w:type="dxa"/>
            <w:gridSpan w:val="11"/>
            <w:vMerge/>
            <w:hideMark/>
          </w:tcPr>
          <w:p w14:paraId="4C862950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1EBBE99" w14:textId="77777777" w:rsidR="00624A65" w:rsidRPr="00624A65" w:rsidRDefault="00624A65"/>
        </w:tc>
      </w:tr>
      <w:tr w:rsidR="00624A65" w:rsidRPr="00624A65" w14:paraId="6160F092" w14:textId="77777777" w:rsidTr="00042EF1">
        <w:trPr>
          <w:trHeight w:val="555"/>
        </w:trPr>
        <w:tc>
          <w:tcPr>
            <w:tcW w:w="14917" w:type="dxa"/>
            <w:gridSpan w:val="11"/>
            <w:vMerge/>
            <w:hideMark/>
          </w:tcPr>
          <w:p w14:paraId="67E4844F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44B4A669" w14:textId="77777777" w:rsidR="00624A65" w:rsidRPr="00624A65" w:rsidRDefault="00624A65"/>
        </w:tc>
      </w:tr>
    </w:tbl>
    <w:p w14:paraId="2B4620DC" w14:textId="77777777" w:rsidR="00F1756B" w:rsidRDefault="00F1756B" w:rsidP="00E81E12"/>
    <w:sectPr w:rsidR="00F1756B" w:rsidSect="00BF4F6F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67CE9" w14:textId="77777777" w:rsidR="002E4B81" w:rsidRDefault="002E4B81" w:rsidP="002E4B81">
      <w:pPr>
        <w:spacing w:after="0" w:line="240" w:lineRule="auto"/>
      </w:pPr>
      <w:r>
        <w:separator/>
      </w:r>
    </w:p>
  </w:endnote>
  <w:endnote w:type="continuationSeparator" w:id="0">
    <w:p w14:paraId="6037BAE3" w14:textId="77777777" w:rsidR="002E4B81" w:rsidRDefault="002E4B81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6396423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Pr="00042EF1" w:rsidRDefault="00E81E12">
            <w:pPr>
              <w:pStyle w:val="Stopka"/>
              <w:jc w:val="right"/>
              <w:rPr>
                <w:sz w:val="16"/>
                <w:szCs w:val="16"/>
              </w:rPr>
            </w:pPr>
            <w:r w:rsidRPr="00042EF1">
              <w:rPr>
                <w:sz w:val="16"/>
                <w:szCs w:val="16"/>
              </w:rPr>
              <w:t xml:space="preserve">Strona </w:t>
            </w:r>
            <w:r w:rsidRPr="00042EF1">
              <w:rPr>
                <w:b/>
                <w:bCs/>
                <w:sz w:val="16"/>
                <w:szCs w:val="16"/>
              </w:rPr>
              <w:fldChar w:fldCharType="begin"/>
            </w:r>
            <w:r w:rsidRPr="00042EF1">
              <w:rPr>
                <w:b/>
                <w:bCs/>
                <w:sz w:val="16"/>
                <w:szCs w:val="16"/>
              </w:rPr>
              <w:instrText>PAGE</w:instrText>
            </w:r>
            <w:r w:rsidRPr="00042EF1">
              <w:rPr>
                <w:b/>
                <w:bCs/>
                <w:sz w:val="16"/>
                <w:szCs w:val="16"/>
              </w:rPr>
              <w:fldChar w:fldCharType="separate"/>
            </w:r>
            <w:r w:rsidRPr="00042EF1">
              <w:rPr>
                <w:b/>
                <w:bCs/>
                <w:sz w:val="16"/>
                <w:szCs w:val="16"/>
              </w:rPr>
              <w:t>2</w:t>
            </w:r>
            <w:r w:rsidRPr="00042EF1">
              <w:rPr>
                <w:b/>
                <w:bCs/>
                <w:sz w:val="16"/>
                <w:szCs w:val="16"/>
              </w:rPr>
              <w:fldChar w:fldCharType="end"/>
            </w:r>
            <w:r w:rsidRPr="00042EF1">
              <w:rPr>
                <w:sz w:val="16"/>
                <w:szCs w:val="16"/>
              </w:rPr>
              <w:t xml:space="preserve"> z </w:t>
            </w:r>
            <w:r w:rsidRPr="00042EF1">
              <w:rPr>
                <w:b/>
                <w:bCs/>
                <w:sz w:val="16"/>
                <w:szCs w:val="16"/>
              </w:rPr>
              <w:fldChar w:fldCharType="begin"/>
            </w:r>
            <w:r w:rsidRPr="00042EF1">
              <w:rPr>
                <w:b/>
                <w:bCs/>
                <w:sz w:val="16"/>
                <w:szCs w:val="16"/>
              </w:rPr>
              <w:instrText>NUMPAGES</w:instrText>
            </w:r>
            <w:r w:rsidRPr="00042EF1">
              <w:rPr>
                <w:b/>
                <w:bCs/>
                <w:sz w:val="16"/>
                <w:szCs w:val="16"/>
              </w:rPr>
              <w:fldChar w:fldCharType="separate"/>
            </w:r>
            <w:r w:rsidRPr="00042EF1">
              <w:rPr>
                <w:b/>
                <w:bCs/>
                <w:sz w:val="16"/>
                <w:szCs w:val="16"/>
              </w:rPr>
              <w:t>2</w:t>
            </w:r>
            <w:r w:rsidRPr="00042EF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56812" w14:textId="77777777" w:rsidR="002E4B81" w:rsidRDefault="002E4B81" w:rsidP="002E4B81">
      <w:pPr>
        <w:spacing w:after="0" w:line="240" w:lineRule="auto"/>
      </w:pPr>
      <w:r>
        <w:separator/>
      </w:r>
    </w:p>
  </w:footnote>
  <w:footnote w:type="continuationSeparator" w:id="0">
    <w:p w14:paraId="752F868F" w14:textId="77777777" w:rsidR="002E4B81" w:rsidRDefault="002E4B81" w:rsidP="002E4B81">
      <w:pPr>
        <w:spacing w:after="0" w:line="240" w:lineRule="auto"/>
      </w:pPr>
      <w:r>
        <w:continuationSeparator/>
      </w:r>
    </w:p>
  </w:footnote>
  <w:footnote w:id="1">
    <w:p w14:paraId="146F592E" w14:textId="57BB05C2" w:rsidR="0050689A" w:rsidRDefault="005068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689A">
        <w:t>TAK” – projekt spełnia dane kryterium, „NIE” – projekt nie spełnia danego kryterium, „NIE DOTYCZY” – dane kryterium nie dotyczy projektu</w:t>
      </w:r>
    </w:p>
  </w:footnote>
  <w:footnote w:id="2">
    <w:p w14:paraId="52870BAB" w14:textId="269553C8" w:rsidR="00C27D88" w:rsidRPr="00C27D88" w:rsidRDefault="00C27D88">
      <w:pPr>
        <w:pStyle w:val="Tekstprzypisudolnego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  <w:r>
        <w:rPr>
          <w:sz w:val="18"/>
          <w:szCs w:val="18"/>
        </w:rPr>
        <w:t>;</w:t>
      </w:r>
    </w:p>
  </w:footnote>
  <w:footnote w:id="3">
    <w:p w14:paraId="5EF33235" w14:textId="746DFDC1" w:rsidR="00C27D88" w:rsidRPr="00C27D88" w:rsidRDefault="00C27D88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SzOP – Szczegółowy Opis Priorytetów programu FEŚ 2021-2027</w:t>
      </w:r>
      <w:r w:rsidR="00181C0A">
        <w:rPr>
          <w:sz w:val="18"/>
          <w:szCs w:val="18"/>
        </w:rPr>
        <w:t>;</w:t>
      </w:r>
    </w:p>
  </w:footnote>
  <w:footnote w:id="4">
    <w:p w14:paraId="4AF7D377" w14:textId="2B7614EE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</w:t>
      </w:r>
      <w:r w:rsidR="003852E2">
        <w:rPr>
          <w:sz w:val="18"/>
          <w:szCs w:val="18"/>
        </w:rPr>
        <w:t>e</w:t>
      </w:r>
      <w:r w:rsidRPr="00181C0A">
        <w:rPr>
          <w:sz w:val="18"/>
          <w:szCs w:val="18"/>
        </w:rPr>
        <w:t xml:space="preserve"> PE i Rady (UE) 2021/1060 z dnia 24 czerwca 2022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679925D7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</w:t>
      </w:r>
      <w:r w:rsidR="003852E2">
        <w:rPr>
          <w:sz w:val="18"/>
          <w:szCs w:val="18"/>
        </w:rPr>
        <w:t>e</w:t>
      </w:r>
      <w:r w:rsidRPr="002F4345">
        <w:rPr>
          <w:sz w:val="18"/>
          <w:szCs w:val="18"/>
        </w:rPr>
        <w:t xml:space="preserve"> PE i Rady (UE) 2021/1060 z dnia 24 czerwca 2022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66114BDA" w:rsidR="00AC240E" w:rsidRDefault="00AC240E">
    <w:pPr>
      <w:pStyle w:val="Nagwek"/>
    </w:pP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105A1"/>
    <w:rsid w:val="00042EF1"/>
    <w:rsid w:val="00093242"/>
    <w:rsid w:val="000946AB"/>
    <w:rsid w:val="000B2BF8"/>
    <w:rsid w:val="000B316A"/>
    <w:rsid w:val="0012313F"/>
    <w:rsid w:val="001352C1"/>
    <w:rsid w:val="00181C0A"/>
    <w:rsid w:val="001A74C8"/>
    <w:rsid w:val="001B12BB"/>
    <w:rsid w:val="001D108B"/>
    <w:rsid w:val="001D1C16"/>
    <w:rsid w:val="00221CC8"/>
    <w:rsid w:val="0023004B"/>
    <w:rsid w:val="00237A18"/>
    <w:rsid w:val="002A4827"/>
    <w:rsid w:val="002B2906"/>
    <w:rsid w:val="002B3369"/>
    <w:rsid w:val="002E4B81"/>
    <w:rsid w:val="002E6A0A"/>
    <w:rsid w:val="002F4345"/>
    <w:rsid w:val="00322C4F"/>
    <w:rsid w:val="003852E2"/>
    <w:rsid w:val="003958D4"/>
    <w:rsid w:val="003A07D2"/>
    <w:rsid w:val="003C430B"/>
    <w:rsid w:val="003E2BF9"/>
    <w:rsid w:val="003F415E"/>
    <w:rsid w:val="003F5F03"/>
    <w:rsid w:val="00427E5A"/>
    <w:rsid w:val="00437067"/>
    <w:rsid w:val="004667AE"/>
    <w:rsid w:val="004905A0"/>
    <w:rsid w:val="004B6BA9"/>
    <w:rsid w:val="0050689A"/>
    <w:rsid w:val="00512B49"/>
    <w:rsid w:val="00530D05"/>
    <w:rsid w:val="005A28F0"/>
    <w:rsid w:val="005B4396"/>
    <w:rsid w:val="0060417C"/>
    <w:rsid w:val="00624A65"/>
    <w:rsid w:val="0062684C"/>
    <w:rsid w:val="00641D68"/>
    <w:rsid w:val="00665F28"/>
    <w:rsid w:val="00692527"/>
    <w:rsid w:val="00713956"/>
    <w:rsid w:val="00715167"/>
    <w:rsid w:val="00732502"/>
    <w:rsid w:val="00744B6A"/>
    <w:rsid w:val="00770837"/>
    <w:rsid w:val="00796912"/>
    <w:rsid w:val="007A4BA0"/>
    <w:rsid w:val="007C1339"/>
    <w:rsid w:val="007D102D"/>
    <w:rsid w:val="00805E79"/>
    <w:rsid w:val="00866741"/>
    <w:rsid w:val="008A68BE"/>
    <w:rsid w:val="008B5FD7"/>
    <w:rsid w:val="008B61DE"/>
    <w:rsid w:val="008C61B2"/>
    <w:rsid w:val="00916D5E"/>
    <w:rsid w:val="0096652E"/>
    <w:rsid w:val="009B7D2B"/>
    <w:rsid w:val="009E53A4"/>
    <w:rsid w:val="00A00BB3"/>
    <w:rsid w:val="00A316AD"/>
    <w:rsid w:val="00A578E4"/>
    <w:rsid w:val="00AA4669"/>
    <w:rsid w:val="00AC1D77"/>
    <w:rsid w:val="00AC240E"/>
    <w:rsid w:val="00AE0917"/>
    <w:rsid w:val="00B10277"/>
    <w:rsid w:val="00B34A2F"/>
    <w:rsid w:val="00B914E4"/>
    <w:rsid w:val="00BA5815"/>
    <w:rsid w:val="00BC441E"/>
    <w:rsid w:val="00BD4F22"/>
    <w:rsid w:val="00BF4F6F"/>
    <w:rsid w:val="00C27D88"/>
    <w:rsid w:val="00C85886"/>
    <w:rsid w:val="00D13A07"/>
    <w:rsid w:val="00D25F50"/>
    <w:rsid w:val="00D65515"/>
    <w:rsid w:val="00D752D5"/>
    <w:rsid w:val="00DB1F98"/>
    <w:rsid w:val="00E37CCC"/>
    <w:rsid w:val="00E81E12"/>
    <w:rsid w:val="00E83EAB"/>
    <w:rsid w:val="00EA7D61"/>
    <w:rsid w:val="00F138A3"/>
    <w:rsid w:val="00F1756B"/>
    <w:rsid w:val="00F829FD"/>
    <w:rsid w:val="00FA3FB8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  <w:style w:type="paragraph" w:customStyle="1" w:styleId="Default">
    <w:name w:val="Default"/>
    <w:rsid w:val="007C1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2490</Words>
  <Characters>14944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Musiał, Artur</cp:lastModifiedBy>
  <cp:revision>52</cp:revision>
  <dcterms:created xsi:type="dcterms:W3CDTF">2024-05-31T08:32:00Z</dcterms:created>
  <dcterms:modified xsi:type="dcterms:W3CDTF">2024-09-10T08:59:00Z</dcterms:modified>
</cp:coreProperties>
</file>