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5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bookmarkStart w:id="0" w:name="_GoBack"/>
      <w:bookmarkEnd w:id="0"/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Z 2019 R. POZ. 688</w:t>
      </w:r>
      <w:r w:rsidR="002770BF">
        <w:rPr>
          <w:rFonts w:eastAsia="Arial"/>
          <w:bCs/>
        </w:rPr>
        <w:t xml:space="preserve"> z </w:t>
      </w:r>
      <w:proofErr w:type="spellStart"/>
      <w:r w:rsidR="002770BF">
        <w:rPr>
          <w:rFonts w:eastAsia="Arial"/>
          <w:bCs/>
        </w:rPr>
        <w:t>późn</w:t>
      </w:r>
      <w:proofErr w:type="spellEnd"/>
      <w:r w:rsidR="002770BF">
        <w:rPr>
          <w:rFonts w:eastAsia="Arial"/>
          <w:bCs/>
        </w:rPr>
        <w:t>.</w:t>
      </w:r>
      <w:r w:rsidR="00D932A4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:rsidR="00364EF6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 xml:space="preserve">uznaje </w:t>
      </w:r>
      <w:r w:rsidR="00D21E2B">
        <w:t xml:space="preserve">                          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lastRenderedPageBreak/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 xml:space="preserve">1. Zleceniodawca wyraża zgodę na realizację przez Zleceniobiorcę następujących działań </w:t>
      </w:r>
      <w:r w:rsidRPr="00D33733">
        <w:rPr>
          <w:color w:val="000000" w:themeColor="text1"/>
        </w:rPr>
        <w:br/>
        <w:t>we współpracy z podmiotem trzecim:……………………………………………………...</w:t>
      </w:r>
    </w:p>
    <w:p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:rsidR="00376E51" w:rsidRPr="00C4681E" w:rsidRDefault="00376E51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 xml:space="preserve">ustawy z dnia 29 września 1994 r. o rachunkowości </w:t>
      </w:r>
      <w:r w:rsidR="00664A6F">
        <w:t xml:space="preserve">                  </w:t>
      </w:r>
      <w:r w:rsidRPr="00C4681E">
        <w:t>(</w:t>
      </w:r>
      <w:proofErr w:type="spellStart"/>
      <w:r w:rsidR="003F76D1">
        <w:t>t.j</w:t>
      </w:r>
      <w:proofErr w:type="spellEnd"/>
      <w:r w:rsidR="003F76D1">
        <w:t>. </w:t>
      </w:r>
      <w:r w:rsidR="000830AC" w:rsidRPr="000830AC">
        <w:t>Dz.</w:t>
      </w:r>
      <w:r w:rsidR="00664A6F">
        <w:t xml:space="preserve"> </w:t>
      </w:r>
      <w:r w:rsidR="000830AC" w:rsidRPr="000830AC">
        <w:t>U</w:t>
      </w:r>
      <w:r w:rsidR="003F76D1">
        <w:t> </w:t>
      </w:r>
      <w:r w:rsidR="00E47BA6">
        <w:t xml:space="preserve">z </w:t>
      </w:r>
      <w:r w:rsidR="000830AC" w:rsidRPr="000830AC">
        <w:t>2019</w:t>
      </w:r>
      <w:r w:rsidR="00376E51">
        <w:t xml:space="preserve"> </w:t>
      </w:r>
      <w:r w:rsidR="00E47BA6">
        <w:t>r</w:t>
      </w:r>
      <w:r w:rsidR="000830AC" w:rsidRPr="000830AC">
        <w:t>.</w:t>
      </w:r>
      <w:r w:rsidR="00E47BA6">
        <w:t xml:space="preserve">, </w:t>
      </w:r>
      <w:r w:rsidR="00376E51">
        <w:t xml:space="preserve">poz. </w:t>
      </w:r>
      <w:r w:rsidR="000830AC" w:rsidRPr="000830AC">
        <w:t>351</w:t>
      </w:r>
      <w:r w:rsidR="00EC6BA0">
        <w:t xml:space="preserve"> </w:t>
      </w:r>
      <w:r w:rsidR="002770BF">
        <w:rPr>
          <w:rFonts w:eastAsia="Arial"/>
          <w:bCs/>
        </w:rPr>
        <w:t xml:space="preserve">z </w:t>
      </w:r>
      <w:proofErr w:type="spellStart"/>
      <w:r w:rsidR="002770BF">
        <w:rPr>
          <w:rFonts w:eastAsia="Arial"/>
          <w:bCs/>
        </w:rPr>
        <w:t>późn</w:t>
      </w:r>
      <w:proofErr w:type="spellEnd"/>
      <w:r w:rsidR="002770BF">
        <w:rPr>
          <w:rFonts w:eastAsia="Arial"/>
          <w:bCs/>
        </w:rPr>
        <w:t>. zm.)</w:t>
      </w:r>
      <w:r w:rsidRPr="00C4681E">
        <w:t xml:space="preserve">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lastRenderedPageBreak/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>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C57E25">
        <w:rPr>
          <w:rFonts w:ascii="Times New Roman" w:hAnsi="Times New Roman"/>
        </w:rPr>
        <w:t>(Dz. </w:t>
      </w:r>
      <w:r w:rsidR="00A308A1" w:rsidRPr="009757FB">
        <w:rPr>
          <w:rFonts w:ascii="Times New Roman" w:hAnsi="Times New Roman"/>
        </w:rPr>
        <w:t>U.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>z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 xml:space="preserve">2018 r. </w:t>
      </w:r>
      <w:r w:rsidR="005707BE">
        <w:rPr>
          <w:rFonts w:ascii="Times New Roman" w:hAnsi="Times New Roman"/>
        </w:rPr>
        <w:t xml:space="preserve">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 (</w:t>
      </w:r>
      <w:proofErr w:type="spellStart"/>
      <w:r w:rsidRPr="00394A24">
        <w:rPr>
          <w:rFonts w:ascii="Times New Roman" w:hAnsi="Times New Roman"/>
        </w:rPr>
        <w:t>t.j</w:t>
      </w:r>
      <w:proofErr w:type="spellEnd"/>
      <w:r w:rsidRPr="00394A24">
        <w:rPr>
          <w:rFonts w:ascii="Times New Roman" w:hAnsi="Times New Roman"/>
        </w:rPr>
        <w:t>. Dz. U. z 2019 r. poz. 869</w:t>
      </w:r>
      <w:r w:rsidR="00EC6BA0" w:rsidRPr="00394A24">
        <w:rPr>
          <w:rFonts w:ascii="Times New Roman" w:hAnsi="Times New Roman"/>
        </w:rPr>
        <w:t xml:space="preserve"> </w:t>
      </w:r>
      <w:r w:rsidR="002770BF" w:rsidRPr="00394A24">
        <w:rPr>
          <w:rFonts w:ascii="Times New Roman" w:hAnsi="Times New Roman"/>
        </w:rPr>
        <w:t xml:space="preserve">                           </w:t>
      </w:r>
      <w:r w:rsidR="002770BF" w:rsidRPr="00394A24">
        <w:rPr>
          <w:rFonts w:ascii="Times New Roman" w:eastAsia="Arial" w:hAnsi="Times New Roman"/>
          <w:bCs/>
        </w:rPr>
        <w:t xml:space="preserve">z </w:t>
      </w:r>
      <w:proofErr w:type="spellStart"/>
      <w:r w:rsidR="002770BF" w:rsidRPr="00394A24">
        <w:rPr>
          <w:rFonts w:ascii="Times New Roman" w:eastAsia="Arial" w:hAnsi="Times New Roman"/>
          <w:bCs/>
        </w:rPr>
        <w:t>późn</w:t>
      </w:r>
      <w:proofErr w:type="spellEnd"/>
      <w:r w:rsidR="002770BF" w:rsidRPr="00394A24">
        <w:rPr>
          <w:rFonts w:ascii="Times New Roman" w:eastAsia="Arial" w:hAnsi="Times New Roman"/>
          <w:bCs/>
        </w:rPr>
        <w:t>. zm.)</w:t>
      </w:r>
    </w:p>
    <w:p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lastRenderedPageBreak/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1524E6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62599C">
        <w:rPr>
          <w:rFonts w:ascii="Times New Roman" w:hAnsi="Times New Roman"/>
          <w:b/>
        </w:rPr>
        <w:t xml:space="preserve">.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830F3F" w:rsidRDefault="00830F3F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</w:t>
      </w:r>
      <w:proofErr w:type="spellStart"/>
      <w:r>
        <w:t>t.j</w:t>
      </w:r>
      <w:proofErr w:type="spellEnd"/>
      <w:r>
        <w:t>. Dz. U. z 2019 r. poz. 1145), które uniemożliwiają wykonanie umowy.</w:t>
      </w:r>
    </w:p>
    <w:p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lastRenderedPageBreak/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3A454F">
        <w:br/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 zobowiąże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do 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 xml:space="preserve">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195342" w:rsidRDefault="00195342">
      <w:pPr>
        <w:rPr>
          <w:b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 xml:space="preserve">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proofErr w:type="spellStart"/>
      <w:r w:rsidR="003B12E3">
        <w:rPr>
          <w:rFonts w:ascii="Times New Roman" w:hAnsi="Times New Roman"/>
        </w:rPr>
        <w:t>t.j</w:t>
      </w:r>
      <w:proofErr w:type="spellEnd"/>
      <w:r w:rsidR="003B12E3">
        <w:rPr>
          <w:rFonts w:ascii="Times New Roman" w:hAnsi="Times New Roman"/>
        </w:rPr>
        <w:t xml:space="preserve">. </w:t>
      </w:r>
      <w:r w:rsidR="00EC6BA0">
        <w:rPr>
          <w:rFonts w:ascii="Times New Roman" w:hAnsi="Times New Roman"/>
        </w:rPr>
        <w:t>Dz. U. z 2019</w:t>
      </w:r>
      <w:r w:rsidR="00BE4749" w:rsidRPr="00BE4749">
        <w:rPr>
          <w:rFonts w:ascii="Times New Roman" w:hAnsi="Times New Roman"/>
        </w:rPr>
        <w:t xml:space="preserve"> r. poz. 14</w:t>
      </w:r>
      <w:r w:rsidR="00EC6BA0">
        <w:rPr>
          <w:rFonts w:ascii="Times New Roman" w:hAnsi="Times New Roman"/>
        </w:rPr>
        <w:t>40</w:t>
      </w:r>
      <w:r w:rsidR="00BE4749" w:rsidRPr="00BE4749">
        <w:rPr>
          <w:rFonts w:ascii="Times New Roman" w:hAnsi="Times New Roman"/>
        </w:rPr>
        <w:t xml:space="preserve"> </w:t>
      </w:r>
      <w:r w:rsidR="002770BF" w:rsidRPr="002770BF">
        <w:rPr>
          <w:rFonts w:ascii="Times New Roman" w:eastAsia="Arial" w:hAnsi="Times New Roman"/>
          <w:bCs/>
        </w:rPr>
        <w:t xml:space="preserve">z </w:t>
      </w:r>
      <w:proofErr w:type="spellStart"/>
      <w:r w:rsidR="002770BF" w:rsidRPr="002770BF">
        <w:rPr>
          <w:rFonts w:ascii="Times New Roman" w:eastAsia="Arial" w:hAnsi="Times New Roman"/>
          <w:bCs/>
        </w:rPr>
        <w:t>późn</w:t>
      </w:r>
      <w:proofErr w:type="spellEnd"/>
      <w:r w:rsidR="002770BF" w:rsidRPr="002770BF">
        <w:rPr>
          <w:rFonts w:ascii="Times New Roman" w:eastAsia="Arial" w:hAnsi="Times New Roman"/>
          <w:bCs/>
        </w:rPr>
        <w:t>. zm.).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5727AF">
        <w:rPr>
          <w:rFonts w:ascii="Times New Roman" w:hAnsi="Times New Roman"/>
        </w:rPr>
        <w:t>3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5727AF">
        <w:rPr>
          <w:rFonts w:ascii="Times New Roman" w:hAnsi="Times New Roman"/>
        </w:rPr>
        <w:t>1</w:t>
      </w:r>
      <w:r w:rsidR="009F563C">
        <w:rPr>
          <w:rFonts w:ascii="Times New Roman" w:hAnsi="Times New Roman"/>
        </w:rPr>
        <w:t> </w:t>
      </w:r>
      <w:r w:rsidR="00623A71" w:rsidRPr="00C4681E">
        <w:rPr>
          <w:rFonts w:ascii="Times New Roman" w:hAnsi="Times New Roman"/>
        </w:rPr>
        <w:t>egzemplarz</w:t>
      </w:r>
      <w:r w:rsidR="009D10E6" w:rsidRPr="00C4681E">
        <w:rPr>
          <w:rFonts w:ascii="Times New Roman" w:hAnsi="Times New Roman"/>
        </w:rPr>
        <w:t xml:space="preserve"> dla Zleceniobiorcy i </w:t>
      </w:r>
      <w:r w:rsidR="005727AF">
        <w:rPr>
          <w:rFonts w:ascii="Times New Roman" w:hAnsi="Times New Roman"/>
        </w:rPr>
        <w:t>2</w:t>
      </w:r>
      <w:r w:rsidR="00E678FF" w:rsidRPr="00C4681E">
        <w:rPr>
          <w:rFonts w:ascii="Times New Roman" w:hAnsi="Times New Roman"/>
        </w:rPr>
        <w:t xml:space="preserve">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62599C" w:rsidRDefault="0062599C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Pr="00C4681E" w:rsidRDefault="00A37FD9" w:rsidP="00227B2A">
      <w:pPr>
        <w:autoSpaceDE w:val="0"/>
        <w:autoSpaceDN w:val="0"/>
        <w:adjustRightInd w:val="0"/>
        <w:jc w:val="both"/>
      </w:pPr>
    </w:p>
    <w:p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A6F" w:rsidRDefault="00664A6F" w:rsidP="00B8414F">
      <w:r>
        <w:separator/>
      </w:r>
    </w:p>
  </w:endnote>
  <w:endnote w:type="continuationSeparator" w:id="0">
    <w:p w:rsidR="00664A6F" w:rsidRDefault="00664A6F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394A24">
      <w:rPr>
        <w:noProof/>
      </w:rPr>
      <w:t>5</w:t>
    </w:r>
    <w:r>
      <w:rPr>
        <w:noProof/>
      </w:rPr>
      <w:fldChar w:fldCharType="end"/>
    </w:r>
  </w:p>
  <w:p w:rsidR="00664A6F" w:rsidRDefault="00664A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A6F" w:rsidRDefault="00664A6F" w:rsidP="00B8414F">
      <w:r>
        <w:separator/>
      </w:r>
    </w:p>
  </w:footnote>
  <w:footnote w:type="continuationSeparator" w:id="0">
    <w:p w:rsidR="00664A6F" w:rsidRDefault="00664A6F" w:rsidP="00B841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2CD8"/>
    <w:rsid w:val="002874F9"/>
    <w:rsid w:val="0029092C"/>
    <w:rsid w:val="00290D7C"/>
    <w:rsid w:val="002915BB"/>
    <w:rsid w:val="002928CF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4DBA3-9EC8-498E-BA96-17114DAC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8</Pages>
  <Words>2595</Words>
  <Characters>17312</Characters>
  <Application>Microsoft Office Word</Application>
  <DocSecurity>0</DocSecurity>
  <Lines>144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annnie</cp:lastModifiedBy>
  <cp:revision>105</cp:revision>
  <cp:lastPrinted>2020-02-24T07:00:00Z</cp:lastPrinted>
  <dcterms:created xsi:type="dcterms:W3CDTF">2019-04-08T08:31:00Z</dcterms:created>
  <dcterms:modified xsi:type="dcterms:W3CDTF">2020-04-30T11:08:00Z</dcterms:modified>
</cp:coreProperties>
</file>